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607E0A" w14:textId="77777777" w:rsidR="0054600B" w:rsidRDefault="0054600B" w:rsidP="00B04D5F">
      <w:pPr>
        <w:spacing w:line="360" w:lineRule="auto"/>
        <w:jc w:val="both"/>
        <w:rPr>
          <w:rFonts w:ascii="Arial" w:hAnsi="Arial" w:cs="Arial"/>
          <w:b/>
          <w:shd w:val="clear" w:color="auto" w:fill="FFFFFF"/>
        </w:rPr>
      </w:pPr>
      <w:r>
        <w:rPr>
          <w:rFonts w:ascii="Arial" w:hAnsi="Arial" w:cs="Arial"/>
          <w:b/>
        </w:rPr>
        <w:t xml:space="preserve">Author’s reply re: </w:t>
      </w:r>
      <w:r>
        <w:rPr>
          <w:rFonts w:ascii="Arial" w:hAnsi="Arial" w:cs="Arial"/>
          <w:b/>
          <w:shd w:val="clear" w:color="auto" w:fill="FFFFFF"/>
        </w:rPr>
        <w:t>The Dangers of Biological Essentialism in Addressing Birth Equity: letter to the editor</w:t>
      </w:r>
    </w:p>
    <w:p w14:paraId="79D05305" w14:textId="29577524" w:rsidR="0054600B" w:rsidRDefault="0054600B" w:rsidP="0054600B">
      <w:pPr>
        <w:spacing w:line="360" w:lineRule="auto"/>
        <w:jc w:val="both"/>
        <w:rPr>
          <w:rFonts w:ascii="Arial" w:hAnsi="Arial" w:cs="Arial"/>
          <w:shd w:val="clear" w:color="auto" w:fill="FFFFFF"/>
        </w:rPr>
      </w:pPr>
      <w:r>
        <w:rPr>
          <w:rFonts w:ascii="Arial" w:hAnsi="Arial" w:cs="Arial"/>
          <w:shd w:val="clear" w:color="auto" w:fill="FFFFFF"/>
        </w:rPr>
        <w:t>Liu B</w:t>
      </w:r>
      <w:r w:rsidRPr="0054600B">
        <w:rPr>
          <w:rFonts w:ascii="Arial" w:hAnsi="Arial" w:cs="Arial"/>
          <w:shd w:val="clear" w:color="auto" w:fill="FFFFFF"/>
          <w:vertAlign w:val="superscript"/>
        </w:rPr>
        <w:t>1,2</w:t>
      </w:r>
      <w:r>
        <w:rPr>
          <w:rFonts w:ascii="Arial" w:hAnsi="Arial" w:cs="Arial"/>
          <w:shd w:val="clear" w:color="auto" w:fill="FFFFFF"/>
        </w:rPr>
        <w:t xml:space="preserve">, </w:t>
      </w:r>
      <w:proofErr w:type="spellStart"/>
      <w:r w:rsidR="0011746A" w:rsidRPr="0011746A">
        <w:rPr>
          <w:rFonts w:ascii="Arial" w:hAnsi="Arial" w:cs="Arial"/>
          <w:shd w:val="clear" w:color="auto" w:fill="FFFFFF"/>
        </w:rPr>
        <w:t>Alakaloko</w:t>
      </w:r>
      <w:proofErr w:type="spellEnd"/>
      <w:r w:rsidR="0011746A" w:rsidRPr="0011746A">
        <w:rPr>
          <w:rFonts w:ascii="Arial" w:hAnsi="Arial" w:cs="Arial"/>
          <w:shd w:val="clear" w:color="auto" w:fill="FFFFFF"/>
        </w:rPr>
        <w:t>, M</w:t>
      </w:r>
      <w:r w:rsidR="0011746A" w:rsidRPr="0054600B">
        <w:rPr>
          <w:rFonts w:ascii="Arial" w:hAnsi="Arial" w:cs="Arial"/>
          <w:shd w:val="clear" w:color="auto" w:fill="FFFFFF"/>
          <w:vertAlign w:val="superscript"/>
        </w:rPr>
        <w:t>1,2</w:t>
      </w:r>
      <w:r w:rsidR="0011746A">
        <w:rPr>
          <w:rFonts w:ascii="Arial" w:hAnsi="Arial" w:cs="Arial"/>
          <w:shd w:val="clear" w:color="auto" w:fill="FFFFFF"/>
        </w:rPr>
        <w:t xml:space="preserve">, </w:t>
      </w:r>
      <w:r>
        <w:rPr>
          <w:rFonts w:ascii="Arial" w:hAnsi="Arial" w:cs="Arial"/>
          <w:shd w:val="clear" w:color="auto" w:fill="FFFFFF"/>
        </w:rPr>
        <w:t>Frick A</w:t>
      </w:r>
      <w:r w:rsidRPr="0054600B">
        <w:rPr>
          <w:rFonts w:ascii="Arial" w:hAnsi="Arial" w:cs="Arial"/>
          <w:shd w:val="clear" w:color="auto" w:fill="FFFFFF"/>
          <w:vertAlign w:val="superscript"/>
        </w:rPr>
        <w:t>1,2</w:t>
      </w:r>
      <w:r>
        <w:rPr>
          <w:rFonts w:ascii="Arial" w:hAnsi="Arial" w:cs="Arial"/>
          <w:shd w:val="clear" w:color="auto" w:fill="FFFFFF"/>
        </w:rPr>
        <w:t>, Bhide A</w:t>
      </w:r>
      <w:r w:rsidRPr="0054600B">
        <w:rPr>
          <w:rFonts w:ascii="Arial" w:hAnsi="Arial" w:cs="Arial"/>
          <w:shd w:val="clear" w:color="auto" w:fill="FFFFFF"/>
          <w:vertAlign w:val="superscript"/>
        </w:rPr>
        <w:t>1,2</w:t>
      </w:r>
      <w:r>
        <w:rPr>
          <w:rFonts w:ascii="Arial" w:hAnsi="Arial" w:cs="Arial"/>
          <w:shd w:val="clear" w:color="auto" w:fill="FFFFFF"/>
        </w:rPr>
        <w:t>, Thilaganathan B</w:t>
      </w:r>
      <w:r w:rsidRPr="0054600B">
        <w:rPr>
          <w:rFonts w:ascii="Arial" w:hAnsi="Arial" w:cs="Arial"/>
          <w:shd w:val="clear" w:color="auto" w:fill="FFFFFF"/>
          <w:vertAlign w:val="superscript"/>
        </w:rPr>
        <w:t>1,2</w:t>
      </w:r>
      <w:r>
        <w:rPr>
          <w:rFonts w:ascii="Arial" w:hAnsi="Arial" w:cs="Arial"/>
          <w:shd w:val="clear" w:color="auto" w:fill="FFFFFF"/>
          <w:vertAlign w:val="superscript"/>
        </w:rPr>
        <w:t>,3</w:t>
      </w:r>
    </w:p>
    <w:p w14:paraId="480DDDBA" w14:textId="77777777" w:rsidR="0054600B" w:rsidRPr="0054600B" w:rsidRDefault="0054600B" w:rsidP="0054600B">
      <w:pPr>
        <w:spacing w:line="360" w:lineRule="auto"/>
        <w:jc w:val="both"/>
        <w:rPr>
          <w:rFonts w:ascii="Arial" w:hAnsi="Arial" w:cs="Arial"/>
          <w:shd w:val="clear" w:color="auto" w:fill="FFFFFF"/>
        </w:rPr>
      </w:pPr>
      <w:r w:rsidRPr="0054600B">
        <w:rPr>
          <w:rFonts w:ascii="Arial" w:hAnsi="Arial" w:cs="Arial"/>
        </w:rPr>
        <w:br/>
      </w:r>
      <w:r w:rsidRPr="0054600B">
        <w:rPr>
          <w:rFonts w:ascii="Arial" w:hAnsi="Arial" w:cs="Arial"/>
          <w:shd w:val="clear" w:color="auto" w:fill="FFFFFF"/>
          <w:vertAlign w:val="superscript"/>
        </w:rPr>
        <w:t>1</w:t>
      </w:r>
      <w:r w:rsidRPr="0054600B">
        <w:rPr>
          <w:rFonts w:ascii="Arial" w:hAnsi="Arial" w:cs="Arial"/>
          <w:shd w:val="clear" w:color="auto" w:fill="FFFFFF"/>
        </w:rPr>
        <w:t>Fetal Medicine Unit, St George's University Hospitals NHS Foundation Trust, London, UK</w:t>
      </w:r>
    </w:p>
    <w:p w14:paraId="57000C99" w14:textId="77777777" w:rsidR="0054600B" w:rsidRPr="0054600B" w:rsidRDefault="0054600B" w:rsidP="0054600B">
      <w:pPr>
        <w:spacing w:line="360" w:lineRule="auto"/>
        <w:jc w:val="both"/>
        <w:rPr>
          <w:rFonts w:ascii="Arial" w:hAnsi="Arial" w:cs="Arial"/>
          <w:shd w:val="clear" w:color="auto" w:fill="FFFFFF"/>
        </w:rPr>
      </w:pPr>
      <w:r w:rsidRPr="0054600B">
        <w:rPr>
          <w:rFonts w:ascii="Arial" w:hAnsi="Arial" w:cs="Arial"/>
          <w:shd w:val="clear" w:color="auto" w:fill="FFFFFF"/>
          <w:vertAlign w:val="superscript"/>
        </w:rPr>
        <w:t>2</w:t>
      </w:r>
      <w:r w:rsidRPr="0054600B">
        <w:rPr>
          <w:rFonts w:ascii="Arial" w:hAnsi="Arial" w:cs="Arial"/>
          <w:shd w:val="clear" w:color="auto" w:fill="FFFFFF"/>
        </w:rPr>
        <w:t>Vascular Biology Research Centre, Molecular and Clinical Sciences Research Institute, St George's University of London, London, UK</w:t>
      </w:r>
    </w:p>
    <w:p w14:paraId="37F0363B" w14:textId="77777777" w:rsidR="0054600B" w:rsidRDefault="0054600B" w:rsidP="0054600B">
      <w:pPr>
        <w:spacing w:line="360" w:lineRule="auto"/>
        <w:jc w:val="both"/>
        <w:rPr>
          <w:rFonts w:ascii="Arial" w:hAnsi="Arial" w:cs="Arial"/>
          <w:shd w:val="clear" w:color="auto" w:fill="FFFFFF"/>
        </w:rPr>
      </w:pPr>
      <w:r w:rsidRPr="0054600B">
        <w:rPr>
          <w:rFonts w:ascii="Arial" w:hAnsi="Arial" w:cs="Arial"/>
          <w:shd w:val="clear" w:color="auto" w:fill="FFFFFF"/>
          <w:vertAlign w:val="superscript"/>
        </w:rPr>
        <w:t>3</w:t>
      </w:r>
      <w:r w:rsidRPr="0054600B">
        <w:rPr>
          <w:rFonts w:ascii="Arial" w:hAnsi="Arial" w:cs="Arial"/>
          <w:shd w:val="clear" w:color="auto" w:fill="FFFFFF"/>
        </w:rPr>
        <w:t xml:space="preserve">Tommy's National Centre for Maternity Improvement, Royal College of Obstetrics and Gynaecology, London, UK. </w:t>
      </w:r>
    </w:p>
    <w:p w14:paraId="155D3773" w14:textId="77777777" w:rsidR="00E82A32" w:rsidRPr="0054600B" w:rsidRDefault="00E82A32" w:rsidP="0054600B">
      <w:pPr>
        <w:spacing w:line="360" w:lineRule="auto"/>
        <w:jc w:val="both"/>
        <w:rPr>
          <w:rFonts w:ascii="Arial" w:hAnsi="Arial" w:cs="Arial"/>
          <w:shd w:val="clear" w:color="auto" w:fill="FFFFFF"/>
        </w:rPr>
      </w:pPr>
    </w:p>
    <w:p w14:paraId="0760EF9C" w14:textId="2A894818" w:rsidR="00232D5D" w:rsidRPr="00B04D5F" w:rsidRDefault="00D7706A" w:rsidP="00B04D5F">
      <w:pPr>
        <w:spacing w:line="360" w:lineRule="auto"/>
        <w:jc w:val="both"/>
        <w:rPr>
          <w:rFonts w:ascii="Arial" w:hAnsi="Arial" w:cs="Arial"/>
        </w:rPr>
      </w:pPr>
      <w:r w:rsidRPr="00B04D5F">
        <w:rPr>
          <w:rFonts w:ascii="Arial" w:hAnsi="Arial" w:cs="Arial"/>
        </w:rPr>
        <w:t>We thank the authors for t</w:t>
      </w:r>
      <w:r w:rsidR="00C41C59" w:rsidRPr="00B04D5F">
        <w:rPr>
          <w:rFonts w:ascii="Arial" w:hAnsi="Arial" w:cs="Arial"/>
        </w:rPr>
        <w:t xml:space="preserve">heir interest in our article. </w:t>
      </w:r>
      <w:r w:rsidRPr="00B04D5F">
        <w:rPr>
          <w:rFonts w:ascii="Arial" w:hAnsi="Arial" w:cs="Arial"/>
        </w:rPr>
        <w:t xml:space="preserve">We agree that viewing ethnic and racial categories as biological determinants of health is inherently racist and runs the risks of perpetuating the very health inequalities that we are trying to address. </w:t>
      </w:r>
      <w:r w:rsidR="00DA6BB1">
        <w:rPr>
          <w:rFonts w:ascii="Arial" w:hAnsi="Arial" w:cs="Arial"/>
        </w:rPr>
        <w:t>However, w</w:t>
      </w:r>
      <w:r w:rsidR="00C41C59" w:rsidRPr="00B04D5F">
        <w:rPr>
          <w:rFonts w:ascii="Arial" w:hAnsi="Arial" w:cs="Arial"/>
        </w:rPr>
        <w:t xml:space="preserve">e </w:t>
      </w:r>
      <w:r w:rsidR="00DA6BB1">
        <w:rPr>
          <w:rFonts w:ascii="Arial" w:hAnsi="Arial" w:cs="Arial"/>
        </w:rPr>
        <w:t xml:space="preserve">respectfully </w:t>
      </w:r>
      <w:r w:rsidR="00C41C59" w:rsidRPr="00B04D5F">
        <w:rPr>
          <w:rFonts w:ascii="Arial" w:hAnsi="Arial" w:cs="Arial"/>
        </w:rPr>
        <w:t>disagree that utilisation of the FMF algorithm in fact invokes biological essentialism.</w:t>
      </w:r>
      <w:r w:rsidR="00DA6BB1">
        <w:rPr>
          <w:rFonts w:ascii="Arial" w:hAnsi="Arial" w:cs="Arial"/>
        </w:rPr>
        <w:t xml:space="preserve"> </w:t>
      </w:r>
      <w:r w:rsidR="00232D5D" w:rsidRPr="00B04D5F">
        <w:rPr>
          <w:rFonts w:ascii="Arial" w:hAnsi="Arial" w:cs="Arial"/>
        </w:rPr>
        <w:t>Ethnicity in the FMF pre-eclampsia screening algorithm is not the sole determinant of an individual woman’s risk status</w:t>
      </w:r>
      <w:r w:rsidR="00DA6BB1">
        <w:rPr>
          <w:rFonts w:ascii="Arial" w:hAnsi="Arial" w:cs="Arial"/>
        </w:rPr>
        <w:t xml:space="preserve">, but </w:t>
      </w:r>
      <w:r w:rsidR="00232D5D" w:rsidRPr="00B04D5F">
        <w:rPr>
          <w:rFonts w:ascii="Arial" w:hAnsi="Arial" w:cs="Arial"/>
        </w:rPr>
        <w:t xml:space="preserve">is rather part of a set of </w:t>
      </w:r>
      <w:r w:rsidR="00396754">
        <w:rPr>
          <w:rFonts w:ascii="Arial" w:hAnsi="Arial" w:cs="Arial"/>
        </w:rPr>
        <w:t xml:space="preserve">multiple </w:t>
      </w:r>
      <w:r w:rsidR="00232D5D" w:rsidRPr="00B04D5F">
        <w:rPr>
          <w:rFonts w:ascii="Arial" w:hAnsi="Arial" w:cs="Arial"/>
        </w:rPr>
        <w:t xml:space="preserve">indices that help determine her risk. </w:t>
      </w:r>
      <w:r w:rsidR="00DA6BB1">
        <w:rPr>
          <w:rFonts w:ascii="Arial" w:hAnsi="Arial" w:cs="Arial"/>
        </w:rPr>
        <w:t xml:space="preserve">The algorithm </w:t>
      </w:r>
      <w:r w:rsidR="00232D5D" w:rsidRPr="00B04D5F">
        <w:rPr>
          <w:rFonts w:ascii="Arial" w:hAnsi="Arial" w:cs="Arial"/>
        </w:rPr>
        <w:t xml:space="preserve">incorporates maternal </w:t>
      </w:r>
      <w:r w:rsidR="000B5747">
        <w:rPr>
          <w:rFonts w:ascii="Arial" w:hAnsi="Arial" w:cs="Arial"/>
        </w:rPr>
        <w:t xml:space="preserve">characteristics (such as age, height and weight), </w:t>
      </w:r>
      <w:r w:rsidR="00232D5D" w:rsidRPr="00B04D5F">
        <w:rPr>
          <w:rFonts w:ascii="Arial" w:hAnsi="Arial" w:cs="Arial"/>
        </w:rPr>
        <w:t>medical risk factors, blood pressure, uterine ar</w:t>
      </w:r>
      <w:r w:rsidR="00B04D5F" w:rsidRPr="00B04D5F">
        <w:rPr>
          <w:rFonts w:ascii="Arial" w:hAnsi="Arial" w:cs="Arial"/>
        </w:rPr>
        <w:t>tery Dopplers, and biochemical placental markers</w:t>
      </w:r>
      <w:r w:rsidR="00385497" w:rsidRPr="00385497">
        <w:rPr>
          <w:rFonts w:ascii="Arial" w:hAnsi="Arial" w:cs="Arial"/>
          <w:vertAlign w:val="superscript"/>
        </w:rPr>
        <w:t>1</w:t>
      </w:r>
      <w:r w:rsidR="00232D5D" w:rsidRPr="00B04D5F">
        <w:rPr>
          <w:rFonts w:ascii="Arial" w:hAnsi="Arial" w:cs="Arial"/>
        </w:rPr>
        <w:t>. Therefore, a normotensive Black woman with an absence of the aforementioned risk factors would not be</w:t>
      </w:r>
      <w:r w:rsidR="00396754">
        <w:rPr>
          <w:rFonts w:ascii="Arial" w:hAnsi="Arial" w:cs="Arial"/>
        </w:rPr>
        <w:t xml:space="preserve"> categorised</w:t>
      </w:r>
      <w:r w:rsidR="00232D5D" w:rsidRPr="00B04D5F">
        <w:rPr>
          <w:rFonts w:ascii="Arial" w:hAnsi="Arial" w:cs="Arial"/>
        </w:rPr>
        <w:t xml:space="preserve"> as high risk. This</w:t>
      </w:r>
      <w:r w:rsidR="006570A6">
        <w:rPr>
          <w:rFonts w:ascii="Arial" w:hAnsi="Arial" w:cs="Arial"/>
        </w:rPr>
        <w:t xml:space="preserve"> approach permits </w:t>
      </w:r>
      <w:r w:rsidR="006570A6" w:rsidRPr="00B04D5F">
        <w:rPr>
          <w:rFonts w:ascii="Arial" w:hAnsi="Arial" w:cs="Arial"/>
        </w:rPr>
        <w:t xml:space="preserve">a more nuanced approach to individualised </w:t>
      </w:r>
      <w:r w:rsidR="006570A6">
        <w:rPr>
          <w:rFonts w:ascii="Arial" w:hAnsi="Arial" w:cs="Arial"/>
        </w:rPr>
        <w:t xml:space="preserve">care and </w:t>
      </w:r>
      <w:r w:rsidR="00232D5D" w:rsidRPr="00B04D5F">
        <w:rPr>
          <w:rFonts w:ascii="Arial" w:hAnsi="Arial" w:cs="Arial"/>
        </w:rPr>
        <w:t>is concretely different from the over-simplified checklist approach adopted by the NICE induction of labour guideline</w:t>
      </w:r>
      <w:r w:rsidR="006570A6">
        <w:rPr>
          <w:rFonts w:ascii="Arial" w:hAnsi="Arial" w:cs="Arial"/>
        </w:rPr>
        <w:t xml:space="preserve"> that the authors cite</w:t>
      </w:r>
      <w:r w:rsidR="00385497" w:rsidRPr="00385497">
        <w:rPr>
          <w:rFonts w:ascii="Arial" w:hAnsi="Arial" w:cs="Arial"/>
          <w:vertAlign w:val="superscript"/>
        </w:rPr>
        <w:t>2</w:t>
      </w:r>
      <w:r w:rsidR="00232D5D" w:rsidRPr="00B04D5F">
        <w:rPr>
          <w:rFonts w:ascii="Arial" w:hAnsi="Arial" w:cs="Arial"/>
        </w:rPr>
        <w:t xml:space="preserve">. </w:t>
      </w:r>
    </w:p>
    <w:p w14:paraId="2CD4D77D" w14:textId="78C26E03" w:rsidR="00E63982" w:rsidRPr="00B04D5F" w:rsidRDefault="00E63982" w:rsidP="00B04D5F">
      <w:pPr>
        <w:spacing w:line="360" w:lineRule="auto"/>
        <w:jc w:val="both"/>
        <w:rPr>
          <w:rFonts w:ascii="Arial" w:hAnsi="Arial" w:cs="Arial"/>
        </w:rPr>
      </w:pPr>
      <w:r w:rsidRPr="00B04D5F">
        <w:rPr>
          <w:rFonts w:ascii="Arial" w:hAnsi="Arial" w:cs="Arial"/>
        </w:rPr>
        <w:t xml:space="preserve">The authors’ assertion of women being wrongly assigned as high-risk, resulting in unnecessary medical intervention without improving care </w:t>
      </w:r>
      <w:r w:rsidR="00396754">
        <w:rPr>
          <w:rFonts w:ascii="Arial" w:hAnsi="Arial" w:cs="Arial"/>
        </w:rPr>
        <w:t xml:space="preserve">also </w:t>
      </w:r>
      <w:r w:rsidRPr="00B04D5F">
        <w:rPr>
          <w:rFonts w:ascii="Arial" w:hAnsi="Arial" w:cs="Arial"/>
        </w:rPr>
        <w:t xml:space="preserve">fails to take into consideration the </w:t>
      </w:r>
      <w:r w:rsidR="006570A6">
        <w:rPr>
          <w:rFonts w:ascii="Arial" w:hAnsi="Arial" w:cs="Arial"/>
        </w:rPr>
        <w:t xml:space="preserve">improved access to care and the tailored </w:t>
      </w:r>
      <w:r w:rsidRPr="00B04D5F">
        <w:rPr>
          <w:rFonts w:ascii="Arial" w:hAnsi="Arial" w:cs="Arial"/>
        </w:rPr>
        <w:t>package of care provided for such women. Women in this high-risk group</w:t>
      </w:r>
      <w:r w:rsidR="00B04D5F" w:rsidRPr="00B04D5F">
        <w:rPr>
          <w:rFonts w:ascii="Arial" w:hAnsi="Arial" w:cs="Arial"/>
        </w:rPr>
        <w:t>, regardless of their ethnicity,</w:t>
      </w:r>
      <w:r w:rsidRPr="00B04D5F">
        <w:rPr>
          <w:rFonts w:ascii="Arial" w:hAnsi="Arial" w:cs="Arial"/>
        </w:rPr>
        <w:t xml:space="preserve"> </w:t>
      </w:r>
      <w:proofErr w:type="gramStart"/>
      <w:r w:rsidRPr="00B04D5F">
        <w:rPr>
          <w:rFonts w:ascii="Arial" w:hAnsi="Arial" w:cs="Arial"/>
        </w:rPr>
        <w:t xml:space="preserve">are </w:t>
      </w:r>
      <w:r w:rsidR="00396754">
        <w:rPr>
          <w:rFonts w:ascii="Arial" w:hAnsi="Arial" w:cs="Arial"/>
        </w:rPr>
        <w:t>offered</w:t>
      </w:r>
      <w:proofErr w:type="gramEnd"/>
      <w:r w:rsidRPr="00B04D5F">
        <w:rPr>
          <w:rFonts w:ascii="Arial" w:hAnsi="Arial" w:cs="Arial"/>
        </w:rPr>
        <w:t xml:space="preserve"> Aspirin</w:t>
      </w:r>
      <w:r w:rsidR="00396754">
        <w:rPr>
          <w:rFonts w:ascii="Arial" w:hAnsi="Arial" w:cs="Arial"/>
        </w:rPr>
        <w:t xml:space="preserve"> prophylaxis</w:t>
      </w:r>
      <w:r w:rsidRPr="00B04D5F">
        <w:rPr>
          <w:rFonts w:ascii="Arial" w:hAnsi="Arial" w:cs="Arial"/>
        </w:rPr>
        <w:t xml:space="preserve">, monitored with serial growth scans, and elective birth at term. </w:t>
      </w:r>
      <w:r w:rsidR="006570A6">
        <w:rPr>
          <w:rFonts w:ascii="Arial" w:hAnsi="Arial" w:cs="Arial"/>
        </w:rPr>
        <w:t xml:space="preserve">These </w:t>
      </w:r>
      <w:r w:rsidRPr="00B04D5F">
        <w:rPr>
          <w:rFonts w:ascii="Arial" w:hAnsi="Arial" w:cs="Arial"/>
        </w:rPr>
        <w:t xml:space="preserve">interventions act </w:t>
      </w:r>
      <w:r w:rsidR="00396754">
        <w:rPr>
          <w:rFonts w:ascii="Arial" w:hAnsi="Arial" w:cs="Arial"/>
        </w:rPr>
        <w:t>to not only</w:t>
      </w:r>
      <w:r w:rsidRPr="00B04D5F">
        <w:rPr>
          <w:rFonts w:ascii="Arial" w:hAnsi="Arial" w:cs="Arial"/>
        </w:rPr>
        <w:t xml:space="preserve"> improve </w:t>
      </w:r>
      <w:r w:rsidR="00B04D5F" w:rsidRPr="00B04D5F">
        <w:rPr>
          <w:rFonts w:ascii="Arial" w:hAnsi="Arial" w:cs="Arial"/>
        </w:rPr>
        <w:t>outcomes for both mother and fetus</w:t>
      </w:r>
      <w:r w:rsidR="006570A6">
        <w:rPr>
          <w:rFonts w:ascii="Arial" w:hAnsi="Arial" w:cs="Arial"/>
        </w:rPr>
        <w:t xml:space="preserve">, but also successfully address the ethnic health disparity in </w:t>
      </w:r>
      <w:r w:rsidR="00396754">
        <w:rPr>
          <w:rFonts w:ascii="Arial" w:hAnsi="Arial" w:cs="Arial"/>
        </w:rPr>
        <w:t xml:space="preserve">pregnancy </w:t>
      </w:r>
      <w:r w:rsidR="006570A6">
        <w:rPr>
          <w:rFonts w:ascii="Arial" w:hAnsi="Arial" w:cs="Arial"/>
        </w:rPr>
        <w:t>outcome</w:t>
      </w:r>
      <w:r w:rsidR="00396754">
        <w:rPr>
          <w:rFonts w:ascii="Arial" w:hAnsi="Arial" w:cs="Arial"/>
        </w:rPr>
        <w:t>s</w:t>
      </w:r>
      <w:r w:rsidR="00385497" w:rsidRPr="00385497">
        <w:rPr>
          <w:rFonts w:ascii="Arial" w:hAnsi="Arial" w:cs="Arial"/>
          <w:vertAlign w:val="superscript"/>
        </w:rPr>
        <w:t>3-5</w:t>
      </w:r>
      <w:r w:rsidR="00B04D5F" w:rsidRPr="00B04D5F">
        <w:rPr>
          <w:rFonts w:ascii="Arial" w:hAnsi="Arial" w:cs="Arial"/>
        </w:rPr>
        <w:t>.</w:t>
      </w:r>
    </w:p>
    <w:p w14:paraId="7C5BA981" w14:textId="2BD657A5" w:rsidR="00C41C59" w:rsidRDefault="00C41C59" w:rsidP="007C163A">
      <w:pPr>
        <w:spacing w:line="360" w:lineRule="auto"/>
        <w:jc w:val="both"/>
        <w:rPr>
          <w:rFonts w:ascii="Arial" w:hAnsi="Arial" w:cs="Arial"/>
        </w:rPr>
      </w:pPr>
      <w:r w:rsidRPr="00B04D5F">
        <w:rPr>
          <w:rFonts w:ascii="Arial" w:hAnsi="Arial" w:cs="Arial"/>
        </w:rPr>
        <w:t xml:space="preserve">Our view is that in the </w:t>
      </w:r>
      <w:r w:rsidR="007C163A">
        <w:rPr>
          <w:rFonts w:ascii="Arial" w:hAnsi="Arial" w:cs="Arial"/>
        </w:rPr>
        <w:t xml:space="preserve">UK </w:t>
      </w:r>
      <w:r w:rsidRPr="00B04D5F">
        <w:rPr>
          <w:rFonts w:ascii="Arial" w:hAnsi="Arial" w:cs="Arial"/>
        </w:rPr>
        <w:t xml:space="preserve">population, </w:t>
      </w:r>
      <w:r w:rsidR="007C163A">
        <w:rPr>
          <w:rFonts w:ascii="Arial" w:hAnsi="Arial" w:cs="Arial"/>
        </w:rPr>
        <w:t xml:space="preserve">the relationship of </w:t>
      </w:r>
      <w:r w:rsidRPr="00B04D5F">
        <w:rPr>
          <w:rFonts w:ascii="Arial" w:hAnsi="Arial" w:cs="Arial"/>
        </w:rPr>
        <w:t xml:space="preserve">ethnicity </w:t>
      </w:r>
      <w:r w:rsidR="007C163A">
        <w:rPr>
          <w:rFonts w:ascii="Arial" w:hAnsi="Arial" w:cs="Arial"/>
        </w:rPr>
        <w:t xml:space="preserve">with various health outcomes </w:t>
      </w:r>
      <w:proofErr w:type="gramStart"/>
      <w:r w:rsidR="007C163A">
        <w:rPr>
          <w:rFonts w:ascii="Arial" w:hAnsi="Arial" w:cs="Arial"/>
        </w:rPr>
        <w:t xml:space="preserve">is </w:t>
      </w:r>
      <w:r w:rsidR="00396754">
        <w:rPr>
          <w:rFonts w:ascii="Arial" w:hAnsi="Arial" w:cs="Arial"/>
        </w:rPr>
        <w:t xml:space="preserve">principally </w:t>
      </w:r>
      <w:r w:rsidR="007C163A">
        <w:rPr>
          <w:rFonts w:ascii="Arial" w:hAnsi="Arial" w:cs="Arial"/>
        </w:rPr>
        <w:t>driven</w:t>
      </w:r>
      <w:proofErr w:type="gramEnd"/>
      <w:r w:rsidR="007C163A">
        <w:rPr>
          <w:rFonts w:ascii="Arial" w:hAnsi="Arial" w:cs="Arial"/>
        </w:rPr>
        <w:t xml:space="preserve"> by </w:t>
      </w:r>
      <w:r w:rsidRPr="00B04D5F">
        <w:rPr>
          <w:rFonts w:ascii="Arial" w:hAnsi="Arial" w:cs="Arial"/>
        </w:rPr>
        <w:t>socio</w:t>
      </w:r>
      <w:r w:rsidR="00E32023" w:rsidRPr="00B04D5F">
        <w:rPr>
          <w:rFonts w:ascii="Arial" w:hAnsi="Arial" w:cs="Arial"/>
        </w:rPr>
        <w:t>-economic deprivation</w:t>
      </w:r>
      <w:r w:rsidR="005A1D3C" w:rsidRPr="00B04D5F">
        <w:rPr>
          <w:rFonts w:ascii="Arial" w:hAnsi="Arial" w:cs="Arial"/>
        </w:rPr>
        <w:t xml:space="preserve"> </w:t>
      </w:r>
      <w:r w:rsidR="007C163A">
        <w:rPr>
          <w:rFonts w:ascii="Arial" w:hAnsi="Arial" w:cs="Arial"/>
        </w:rPr>
        <w:t xml:space="preserve">as well as </w:t>
      </w:r>
      <w:r w:rsidR="005A1D3C" w:rsidRPr="00B04D5F">
        <w:rPr>
          <w:rFonts w:ascii="Arial" w:hAnsi="Arial" w:cs="Arial"/>
        </w:rPr>
        <w:t>individual experiences of both systemic and individual racism</w:t>
      </w:r>
      <w:r w:rsidR="007C163A">
        <w:rPr>
          <w:rFonts w:ascii="Arial" w:hAnsi="Arial" w:cs="Arial"/>
        </w:rPr>
        <w:t xml:space="preserve">. This assertion is borne out in the </w:t>
      </w:r>
      <w:r w:rsidR="007C163A" w:rsidRPr="007C163A">
        <w:rPr>
          <w:rFonts w:ascii="Arial" w:hAnsi="Arial" w:cs="Arial"/>
        </w:rPr>
        <w:t xml:space="preserve">recent ethnic health </w:t>
      </w:r>
      <w:r w:rsidR="007C163A" w:rsidRPr="007C163A">
        <w:rPr>
          <w:rFonts w:ascii="Arial" w:hAnsi="Arial" w:cs="Arial"/>
        </w:rPr>
        <w:lastRenderedPageBreak/>
        <w:t>inequalities report</w:t>
      </w:r>
      <w:r w:rsidR="007C163A">
        <w:rPr>
          <w:rFonts w:ascii="Arial" w:hAnsi="Arial" w:cs="Arial"/>
        </w:rPr>
        <w:t xml:space="preserve"> </w:t>
      </w:r>
      <w:r w:rsidR="007C163A" w:rsidRPr="007C163A">
        <w:rPr>
          <w:rFonts w:ascii="Arial" w:hAnsi="Arial" w:cs="Arial"/>
        </w:rPr>
        <w:t>from the NHS Race and Health Observatory (NHS RHO</w:t>
      </w:r>
      <w:proofErr w:type="gramStart"/>
      <w:r w:rsidR="007C163A" w:rsidRPr="007C163A">
        <w:rPr>
          <w:rFonts w:ascii="Arial" w:hAnsi="Arial" w:cs="Arial"/>
        </w:rPr>
        <w:t>)</w:t>
      </w:r>
      <w:r w:rsidR="0011746A" w:rsidRPr="0011746A">
        <w:rPr>
          <w:rFonts w:ascii="Arial" w:hAnsi="Arial" w:cs="Arial"/>
          <w:vertAlign w:val="superscript"/>
        </w:rPr>
        <w:t>6</w:t>
      </w:r>
      <w:proofErr w:type="gramEnd"/>
      <w:r w:rsidR="005A1D3C" w:rsidRPr="00B04D5F">
        <w:rPr>
          <w:rFonts w:ascii="Arial" w:hAnsi="Arial" w:cs="Arial"/>
        </w:rPr>
        <w:t xml:space="preserve">. </w:t>
      </w:r>
      <w:r w:rsidR="00EA6436" w:rsidRPr="00B04D5F">
        <w:rPr>
          <w:rFonts w:ascii="Arial" w:hAnsi="Arial" w:cs="Arial"/>
        </w:rPr>
        <w:t xml:space="preserve">We fully acknowledge that the incorporation of ethnicity into a screening algorithm has limitations, </w:t>
      </w:r>
      <w:r w:rsidR="0066753D" w:rsidRPr="00B04D5F">
        <w:rPr>
          <w:rFonts w:ascii="Arial" w:hAnsi="Arial" w:cs="Arial"/>
        </w:rPr>
        <w:t>but</w:t>
      </w:r>
      <w:r w:rsidR="00B04D5F" w:rsidRPr="00B04D5F">
        <w:rPr>
          <w:rFonts w:ascii="Arial" w:hAnsi="Arial" w:cs="Arial"/>
        </w:rPr>
        <w:t xml:space="preserve"> that</w:t>
      </w:r>
      <w:r w:rsidR="0066753D" w:rsidRPr="00B04D5F">
        <w:rPr>
          <w:rFonts w:ascii="Arial" w:hAnsi="Arial" w:cs="Arial"/>
        </w:rPr>
        <w:t xml:space="preserve"> does not negate its use in the identification of women at risk of </w:t>
      </w:r>
      <w:r w:rsidR="00B04D5F" w:rsidRPr="00B04D5F">
        <w:rPr>
          <w:rFonts w:ascii="Arial" w:hAnsi="Arial" w:cs="Arial"/>
        </w:rPr>
        <w:t xml:space="preserve">suffering the health consequences of </w:t>
      </w:r>
      <w:r w:rsidR="0066753D" w:rsidRPr="00B04D5F">
        <w:rPr>
          <w:rFonts w:ascii="Arial" w:hAnsi="Arial" w:cs="Arial"/>
        </w:rPr>
        <w:t>socio-economic deprivation</w:t>
      </w:r>
      <w:r w:rsidR="00947A2B" w:rsidRPr="00B04D5F">
        <w:rPr>
          <w:rFonts w:ascii="Arial" w:hAnsi="Arial" w:cs="Arial"/>
        </w:rPr>
        <w:t xml:space="preserve">, </w:t>
      </w:r>
      <w:r w:rsidR="00396754">
        <w:rPr>
          <w:rFonts w:ascii="Arial" w:hAnsi="Arial" w:cs="Arial"/>
        </w:rPr>
        <w:t>to</w:t>
      </w:r>
      <w:r w:rsidR="0011746A">
        <w:rPr>
          <w:rFonts w:ascii="Arial" w:hAnsi="Arial" w:cs="Arial"/>
        </w:rPr>
        <w:t xml:space="preserve"> target interventions to prevent </w:t>
      </w:r>
      <w:r w:rsidR="00831F16" w:rsidRPr="00B04D5F">
        <w:rPr>
          <w:rFonts w:ascii="Arial" w:hAnsi="Arial" w:cs="Arial"/>
        </w:rPr>
        <w:t>adverse perinatal outcome</w:t>
      </w:r>
      <w:r w:rsidR="00B04D5F" w:rsidRPr="00B04D5F">
        <w:rPr>
          <w:rFonts w:ascii="Arial" w:hAnsi="Arial" w:cs="Arial"/>
        </w:rPr>
        <w:t>s</w:t>
      </w:r>
      <w:r w:rsidR="00831F16" w:rsidRPr="00B04D5F">
        <w:rPr>
          <w:rFonts w:ascii="Arial" w:hAnsi="Arial" w:cs="Arial"/>
        </w:rPr>
        <w:t xml:space="preserve">. </w:t>
      </w:r>
      <w:r w:rsidR="00232D5D" w:rsidRPr="00B04D5F">
        <w:rPr>
          <w:rFonts w:ascii="Arial" w:hAnsi="Arial" w:cs="Arial"/>
        </w:rPr>
        <w:t xml:space="preserve"> We eagerly look forward to the </w:t>
      </w:r>
      <w:r w:rsidR="00947A2B" w:rsidRPr="00B04D5F">
        <w:rPr>
          <w:rFonts w:ascii="Arial" w:hAnsi="Arial" w:cs="Arial"/>
        </w:rPr>
        <w:t xml:space="preserve">development of a </w:t>
      </w:r>
      <w:r w:rsidR="00396754" w:rsidRPr="00B04D5F">
        <w:rPr>
          <w:rFonts w:ascii="Arial" w:hAnsi="Arial" w:cs="Arial"/>
        </w:rPr>
        <w:t>tool</w:t>
      </w:r>
      <w:r w:rsidR="00396754">
        <w:rPr>
          <w:rFonts w:ascii="Arial" w:hAnsi="Arial" w:cs="Arial"/>
        </w:rPr>
        <w:t>, which</w:t>
      </w:r>
      <w:r w:rsidR="00947A2B" w:rsidRPr="00B04D5F">
        <w:rPr>
          <w:rFonts w:ascii="Arial" w:hAnsi="Arial" w:cs="Arial"/>
        </w:rPr>
        <w:t xml:space="preserve"> </w:t>
      </w:r>
      <w:r w:rsidR="00B04D5F" w:rsidRPr="00B04D5F">
        <w:rPr>
          <w:rFonts w:ascii="Arial" w:hAnsi="Arial" w:cs="Arial"/>
        </w:rPr>
        <w:t xml:space="preserve">will be able to </w:t>
      </w:r>
      <w:r w:rsidR="00947A2B" w:rsidRPr="00B04D5F">
        <w:rPr>
          <w:rFonts w:ascii="Arial" w:hAnsi="Arial" w:cs="Arial"/>
        </w:rPr>
        <w:t>address the complex factors associated with racial</w:t>
      </w:r>
      <w:r w:rsidR="00232D5D" w:rsidRPr="00B04D5F">
        <w:rPr>
          <w:rFonts w:ascii="Arial" w:hAnsi="Arial" w:cs="Arial"/>
        </w:rPr>
        <w:t xml:space="preserve"> and ethnic</w:t>
      </w:r>
      <w:r w:rsidR="00947A2B" w:rsidRPr="00B04D5F">
        <w:rPr>
          <w:rFonts w:ascii="Arial" w:hAnsi="Arial" w:cs="Arial"/>
        </w:rPr>
        <w:t xml:space="preserve"> inequalities, but </w:t>
      </w:r>
      <w:r w:rsidR="00831F16" w:rsidRPr="00B04D5F">
        <w:rPr>
          <w:rFonts w:ascii="Arial" w:hAnsi="Arial" w:cs="Arial"/>
        </w:rPr>
        <w:t xml:space="preserve">until it exists, </w:t>
      </w:r>
      <w:r w:rsidR="00947A2B" w:rsidRPr="00B04D5F">
        <w:rPr>
          <w:rFonts w:ascii="Arial" w:hAnsi="Arial" w:cs="Arial"/>
        </w:rPr>
        <w:t xml:space="preserve">discounting ethnicity in its entirety </w:t>
      </w:r>
      <w:r w:rsidR="00831F16" w:rsidRPr="00B04D5F">
        <w:rPr>
          <w:rFonts w:ascii="Arial" w:hAnsi="Arial" w:cs="Arial"/>
        </w:rPr>
        <w:t xml:space="preserve">will continue to perpetuate </w:t>
      </w:r>
      <w:r w:rsidR="007C163A">
        <w:rPr>
          <w:rFonts w:ascii="Arial" w:hAnsi="Arial" w:cs="Arial"/>
        </w:rPr>
        <w:t xml:space="preserve">the stark </w:t>
      </w:r>
      <w:r w:rsidR="00831F16" w:rsidRPr="00B04D5F">
        <w:rPr>
          <w:rFonts w:ascii="Arial" w:hAnsi="Arial" w:cs="Arial"/>
        </w:rPr>
        <w:t>health disparities</w:t>
      </w:r>
      <w:r w:rsidR="007C163A">
        <w:rPr>
          <w:rFonts w:ascii="Arial" w:hAnsi="Arial" w:cs="Arial"/>
        </w:rPr>
        <w:t xml:space="preserve"> that currently exist in our National Health Service</w:t>
      </w:r>
      <w:r w:rsidR="00831F16" w:rsidRPr="00B04D5F">
        <w:rPr>
          <w:rFonts w:ascii="Arial" w:hAnsi="Arial" w:cs="Arial"/>
        </w:rPr>
        <w:t xml:space="preserve">. </w:t>
      </w:r>
      <w:r w:rsidR="00232D5D" w:rsidRPr="00B04D5F">
        <w:rPr>
          <w:rFonts w:ascii="Arial" w:hAnsi="Arial" w:cs="Arial"/>
        </w:rPr>
        <w:t>W</w:t>
      </w:r>
      <w:r w:rsidR="003E6843">
        <w:rPr>
          <w:rFonts w:ascii="Arial" w:hAnsi="Arial" w:cs="Arial"/>
        </w:rPr>
        <w:t>hilst w</w:t>
      </w:r>
      <w:r w:rsidR="00244ABD">
        <w:rPr>
          <w:rFonts w:ascii="Arial" w:hAnsi="Arial" w:cs="Arial"/>
        </w:rPr>
        <w:t xml:space="preserve">e wholeheartedly concur with the ambition of the authors to tackle racism at its core, </w:t>
      </w:r>
      <w:r w:rsidR="003E6843">
        <w:rPr>
          <w:rFonts w:ascii="Arial" w:hAnsi="Arial" w:cs="Arial"/>
        </w:rPr>
        <w:t>we do not underestimate the effort and time this will take to achieve in medicine, let alone in wider society. W</w:t>
      </w:r>
      <w:r w:rsidR="00244ABD">
        <w:rPr>
          <w:rFonts w:ascii="Arial" w:hAnsi="Arial" w:cs="Arial"/>
        </w:rPr>
        <w:t xml:space="preserve">hilst </w:t>
      </w:r>
      <w:r w:rsidR="003E6843">
        <w:rPr>
          <w:rFonts w:ascii="Arial" w:hAnsi="Arial" w:cs="Arial"/>
        </w:rPr>
        <w:t xml:space="preserve">we take on this </w:t>
      </w:r>
      <w:r w:rsidR="00244ABD">
        <w:rPr>
          <w:rFonts w:ascii="Arial" w:hAnsi="Arial" w:cs="Arial"/>
        </w:rPr>
        <w:t>considerable challenge, w</w:t>
      </w:r>
      <w:r w:rsidR="00232D5D" w:rsidRPr="00B04D5F">
        <w:rPr>
          <w:rFonts w:ascii="Arial" w:hAnsi="Arial" w:cs="Arial"/>
        </w:rPr>
        <w:t>e cannot let the perfect be the enemy of the good w</w:t>
      </w:r>
      <w:r w:rsidR="003E6843">
        <w:rPr>
          <w:rFonts w:ascii="Arial" w:hAnsi="Arial" w:cs="Arial"/>
        </w:rPr>
        <w:t>hen</w:t>
      </w:r>
      <w:r w:rsidR="00232D5D" w:rsidRPr="00B04D5F">
        <w:rPr>
          <w:rFonts w:ascii="Arial" w:hAnsi="Arial" w:cs="Arial"/>
        </w:rPr>
        <w:t xml:space="preserve"> such stark </w:t>
      </w:r>
      <w:r w:rsidR="00244ABD">
        <w:rPr>
          <w:rFonts w:ascii="Arial" w:hAnsi="Arial" w:cs="Arial"/>
        </w:rPr>
        <w:t xml:space="preserve">health </w:t>
      </w:r>
      <w:r w:rsidR="00232D5D" w:rsidRPr="00B04D5F">
        <w:rPr>
          <w:rFonts w:ascii="Arial" w:hAnsi="Arial" w:cs="Arial"/>
        </w:rPr>
        <w:t xml:space="preserve">inequalities in </w:t>
      </w:r>
      <w:r w:rsidR="00244ABD">
        <w:rPr>
          <w:rFonts w:ascii="Arial" w:hAnsi="Arial" w:cs="Arial"/>
        </w:rPr>
        <w:t xml:space="preserve">pregnancy </w:t>
      </w:r>
      <w:r w:rsidR="00232D5D" w:rsidRPr="00B04D5F">
        <w:rPr>
          <w:rFonts w:ascii="Arial" w:hAnsi="Arial" w:cs="Arial"/>
        </w:rPr>
        <w:t xml:space="preserve">outcome persist. </w:t>
      </w:r>
    </w:p>
    <w:p w14:paraId="6382A48F" w14:textId="77777777" w:rsidR="00EA5311" w:rsidRDefault="00EA5311" w:rsidP="00B04D5F">
      <w:pPr>
        <w:spacing w:line="360" w:lineRule="auto"/>
        <w:jc w:val="both"/>
        <w:rPr>
          <w:rFonts w:ascii="Arial" w:hAnsi="Arial" w:cs="Arial"/>
          <w:b/>
        </w:rPr>
      </w:pPr>
    </w:p>
    <w:p w14:paraId="25EFF4F7" w14:textId="77777777" w:rsidR="00EA5311" w:rsidRDefault="00EA5311" w:rsidP="00B04D5F">
      <w:pPr>
        <w:spacing w:line="360" w:lineRule="auto"/>
        <w:jc w:val="both"/>
        <w:rPr>
          <w:rFonts w:ascii="Arial" w:hAnsi="Arial" w:cs="Arial"/>
          <w:b/>
        </w:rPr>
      </w:pPr>
      <w:r>
        <w:rPr>
          <w:rFonts w:ascii="Arial" w:hAnsi="Arial" w:cs="Arial"/>
          <w:b/>
        </w:rPr>
        <w:t>References</w:t>
      </w:r>
    </w:p>
    <w:p w14:paraId="01957A9B" w14:textId="77777777" w:rsidR="00EA5311" w:rsidRPr="0054600B" w:rsidRDefault="00EA5311" w:rsidP="0054600B">
      <w:pPr>
        <w:pStyle w:val="ListParagraph"/>
        <w:numPr>
          <w:ilvl w:val="0"/>
          <w:numId w:val="4"/>
        </w:numPr>
        <w:spacing w:line="360" w:lineRule="auto"/>
        <w:rPr>
          <w:rFonts w:ascii="Arial" w:hAnsi="Arial" w:cs="Arial"/>
        </w:rPr>
      </w:pPr>
      <w:r w:rsidRPr="0054600B">
        <w:rPr>
          <w:rFonts w:ascii="Arial" w:hAnsi="Arial" w:cs="Arial"/>
        </w:rPr>
        <w:t xml:space="preserve">Rolnik DL, Wright D, Poon LC et al. Aspirin </w:t>
      </w:r>
      <w:proofErr w:type="gramStart"/>
      <w:r w:rsidRPr="0054600B">
        <w:rPr>
          <w:rFonts w:ascii="Arial" w:hAnsi="Arial" w:cs="Arial"/>
        </w:rPr>
        <w:t>versus Placebo in Pregnancies at High Risk for Preterm Preeclampsia</w:t>
      </w:r>
      <w:proofErr w:type="gramEnd"/>
      <w:r w:rsidRPr="0054600B">
        <w:rPr>
          <w:rFonts w:ascii="Arial" w:hAnsi="Arial" w:cs="Arial"/>
        </w:rPr>
        <w:t xml:space="preserve">. </w:t>
      </w:r>
      <w:r w:rsidRPr="0054600B">
        <w:rPr>
          <w:rFonts w:ascii="Arial" w:hAnsi="Arial" w:cs="Arial"/>
          <w:shd w:val="clear" w:color="auto" w:fill="FFFFFF"/>
        </w:rPr>
        <w:t xml:space="preserve">N </w:t>
      </w:r>
      <w:proofErr w:type="spellStart"/>
      <w:r w:rsidRPr="0054600B">
        <w:rPr>
          <w:rFonts w:ascii="Arial" w:hAnsi="Arial" w:cs="Arial"/>
          <w:shd w:val="clear" w:color="auto" w:fill="FFFFFF"/>
        </w:rPr>
        <w:t>Engl</w:t>
      </w:r>
      <w:proofErr w:type="spellEnd"/>
      <w:r w:rsidRPr="0054600B">
        <w:rPr>
          <w:rFonts w:ascii="Arial" w:hAnsi="Arial" w:cs="Arial"/>
          <w:shd w:val="clear" w:color="auto" w:fill="FFFFFF"/>
        </w:rPr>
        <w:t xml:space="preserve"> J Med 2017; 377:613-622. </w:t>
      </w:r>
      <w:r w:rsidR="0054600B" w:rsidRPr="0054600B">
        <w:rPr>
          <w:rFonts w:ascii="Arial" w:hAnsi="Arial" w:cs="Arial"/>
          <w:shd w:val="clear" w:color="auto" w:fill="FFFFFF"/>
        </w:rPr>
        <w:t>doi:10.1056/NEJMoa1704559</w:t>
      </w:r>
    </w:p>
    <w:p w14:paraId="5E8D3BBD" w14:textId="77777777" w:rsidR="00EA5311" w:rsidRPr="0054600B" w:rsidRDefault="00EA5311" w:rsidP="0054600B">
      <w:pPr>
        <w:pStyle w:val="ListParagraph"/>
        <w:numPr>
          <w:ilvl w:val="0"/>
          <w:numId w:val="4"/>
        </w:numPr>
        <w:spacing w:line="360" w:lineRule="auto"/>
        <w:ind w:left="714" w:hanging="357"/>
        <w:rPr>
          <w:rFonts w:ascii="Arial" w:hAnsi="Arial" w:cs="Arial"/>
        </w:rPr>
      </w:pPr>
      <w:r w:rsidRPr="0054600B">
        <w:rPr>
          <w:rFonts w:ascii="Arial" w:hAnsi="Arial" w:cs="Arial"/>
        </w:rPr>
        <w:t xml:space="preserve">NICE recommends offering women induced labour earlier in new draft guidance | News and features | News. NICE. Accessed 28 </w:t>
      </w:r>
      <w:proofErr w:type="gramStart"/>
      <w:r w:rsidRPr="0054600B">
        <w:rPr>
          <w:rFonts w:ascii="Arial" w:hAnsi="Arial" w:cs="Arial"/>
        </w:rPr>
        <w:t>May,</w:t>
      </w:r>
      <w:proofErr w:type="gramEnd"/>
      <w:r w:rsidRPr="0054600B">
        <w:rPr>
          <w:rFonts w:ascii="Arial" w:hAnsi="Arial" w:cs="Arial"/>
        </w:rPr>
        <w:t xml:space="preserve"> 2022. </w:t>
      </w:r>
      <w:hyperlink r:id="rId5" w:history="1">
        <w:r w:rsidRPr="0054600B">
          <w:rPr>
            <w:rStyle w:val="Hyperlink"/>
            <w:rFonts w:ascii="Arial" w:hAnsi="Arial" w:cs="Arial"/>
            <w:color w:val="0070C0"/>
          </w:rPr>
          <w:t>https://www.nice.org.uk/news/article/nice-recommends-inducing-women-in-labour-earlier-in-new-draft-guidance</w:t>
        </w:r>
      </w:hyperlink>
    </w:p>
    <w:p w14:paraId="6B399AAC" w14:textId="77777777" w:rsidR="00E66B3D" w:rsidRPr="0054600B" w:rsidRDefault="00EA5311" w:rsidP="0054600B">
      <w:pPr>
        <w:pStyle w:val="ListParagraph"/>
        <w:numPr>
          <w:ilvl w:val="0"/>
          <w:numId w:val="4"/>
        </w:numPr>
        <w:shd w:val="clear" w:color="auto" w:fill="FFFFFF"/>
        <w:spacing w:before="100" w:beforeAutospacing="1" w:after="100" w:afterAutospacing="1" w:line="360" w:lineRule="auto"/>
        <w:rPr>
          <w:rFonts w:ascii="Arial" w:hAnsi="Arial" w:cs="Arial"/>
        </w:rPr>
      </w:pPr>
      <w:r w:rsidRPr="0054600B">
        <w:rPr>
          <w:rFonts w:ascii="Arial" w:hAnsi="Arial" w:cs="Arial"/>
        </w:rPr>
        <w:t xml:space="preserve">Liu B, Nadeem U, Frick A, </w:t>
      </w:r>
      <w:proofErr w:type="spellStart"/>
      <w:proofErr w:type="gramStart"/>
      <w:r w:rsidRPr="0054600B">
        <w:rPr>
          <w:rFonts w:ascii="Arial" w:hAnsi="Arial" w:cs="Arial"/>
        </w:rPr>
        <w:t>Alakaloko</w:t>
      </w:r>
      <w:proofErr w:type="spellEnd"/>
      <w:proofErr w:type="gramEnd"/>
      <w:r w:rsidR="00E66B3D" w:rsidRPr="0054600B">
        <w:rPr>
          <w:rFonts w:ascii="Arial" w:hAnsi="Arial" w:cs="Arial"/>
        </w:rPr>
        <w:t xml:space="preserve"> M, Bhide A, Thilaganathan B. Reducing health inequality in Black, Asian and other minority ethnic pregnant women: impact of first trimester combined screening for placental dysfunction on perinatal mortality. BJOG 2022. </w:t>
      </w:r>
      <w:proofErr w:type="spellStart"/>
      <w:r w:rsidR="0054600B" w:rsidRPr="0054600B">
        <w:rPr>
          <w:rStyle w:val="id-label"/>
          <w:rFonts w:ascii="Arial" w:hAnsi="Arial" w:cs="Arial"/>
        </w:rPr>
        <w:t>doi</w:t>
      </w:r>
      <w:proofErr w:type="spellEnd"/>
      <w:r w:rsidR="00E66B3D" w:rsidRPr="0054600B">
        <w:rPr>
          <w:rStyle w:val="id-label"/>
          <w:rFonts w:ascii="Arial" w:hAnsi="Arial" w:cs="Arial"/>
        </w:rPr>
        <w:t>: </w:t>
      </w:r>
      <w:hyperlink r:id="rId6" w:tgtFrame="_blank" w:history="1">
        <w:r w:rsidR="00E66B3D" w:rsidRPr="0054600B">
          <w:rPr>
            <w:rStyle w:val="Hyperlink"/>
            <w:rFonts w:ascii="Arial" w:hAnsi="Arial" w:cs="Arial"/>
            <w:color w:val="auto"/>
            <w:u w:val="none"/>
          </w:rPr>
          <w:t>10.1111/1471-0528.17109</w:t>
        </w:r>
      </w:hyperlink>
    </w:p>
    <w:p w14:paraId="1BEFBC10" w14:textId="77777777" w:rsidR="00E66B3D" w:rsidRPr="0054600B" w:rsidRDefault="00E66B3D" w:rsidP="0054600B">
      <w:pPr>
        <w:pStyle w:val="Heading1"/>
        <w:numPr>
          <w:ilvl w:val="0"/>
          <w:numId w:val="4"/>
        </w:numPr>
        <w:shd w:val="clear" w:color="auto" w:fill="FFFFFF"/>
        <w:spacing w:before="120" w:beforeAutospacing="0" w:after="120" w:afterAutospacing="0" w:line="360" w:lineRule="auto"/>
        <w:rPr>
          <w:rFonts w:ascii="Arial" w:hAnsi="Arial" w:cs="Arial"/>
          <w:b w:val="0"/>
          <w:sz w:val="22"/>
          <w:szCs w:val="22"/>
        </w:rPr>
      </w:pPr>
      <w:r w:rsidRPr="0054600B">
        <w:rPr>
          <w:rFonts w:ascii="Arial" w:hAnsi="Arial" w:cs="Arial"/>
          <w:b w:val="0"/>
          <w:sz w:val="22"/>
          <w:szCs w:val="22"/>
        </w:rPr>
        <w:t xml:space="preserve">Guy GP, Leslie K, Diaz Gomez D, </w:t>
      </w:r>
      <w:proofErr w:type="spellStart"/>
      <w:r w:rsidRPr="0054600B">
        <w:rPr>
          <w:rFonts w:ascii="Arial" w:hAnsi="Arial" w:cs="Arial"/>
          <w:b w:val="0"/>
          <w:sz w:val="22"/>
          <w:szCs w:val="22"/>
        </w:rPr>
        <w:t>Forenc</w:t>
      </w:r>
      <w:proofErr w:type="spellEnd"/>
      <w:r w:rsidRPr="0054600B">
        <w:rPr>
          <w:rFonts w:ascii="Arial" w:hAnsi="Arial" w:cs="Arial"/>
          <w:b w:val="0"/>
          <w:sz w:val="22"/>
          <w:szCs w:val="22"/>
        </w:rPr>
        <w:t xml:space="preserve"> K, Buck E, Khalil A, Thilaganathan B. Implementation of routine first trimester combined screening for pre-eclampsia: a clinical effectiveness study. BJOG 2021; 128(2):149-156. </w:t>
      </w:r>
      <w:proofErr w:type="spellStart"/>
      <w:proofErr w:type="gramStart"/>
      <w:r w:rsidR="0054600B" w:rsidRPr="0054600B">
        <w:rPr>
          <w:rFonts w:ascii="Arial" w:hAnsi="Arial" w:cs="Arial"/>
          <w:b w:val="0"/>
          <w:sz w:val="22"/>
          <w:szCs w:val="22"/>
          <w:shd w:val="clear" w:color="auto" w:fill="FFFFFF"/>
        </w:rPr>
        <w:t>doi</w:t>
      </w:r>
      <w:proofErr w:type="spellEnd"/>
      <w:proofErr w:type="gramEnd"/>
      <w:r w:rsidRPr="0054600B">
        <w:rPr>
          <w:rFonts w:ascii="Arial" w:hAnsi="Arial" w:cs="Arial"/>
          <w:b w:val="0"/>
          <w:sz w:val="22"/>
          <w:szCs w:val="22"/>
          <w:shd w:val="clear" w:color="auto" w:fill="FFFFFF"/>
        </w:rPr>
        <w:t>: 10.1111/1471-0528.16361</w:t>
      </w:r>
    </w:p>
    <w:p w14:paraId="570E63CA" w14:textId="2B353805" w:rsidR="0054600B" w:rsidRPr="0011746A" w:rsidRDefault="0054600B" w:rsidP="00AC0634">
      <w:pPr>
        <w:pStyle w:val="ListParagraph"/>
        <w:numPr>
          <w:ilvl w:val="0"/>
          <w:numId w:val="4"/>
        </w:numPr>
        <w:shd w:val="clear" w:color="auto" w:fill="FFFFFF"/>
        <w:spacing w:line="360" w:lineRule="auto"/>
        <w:ind w:left="714" w:hanging="357"/>
        <w:rPr>
          <w:rStyle w:val="citation-doi"/>
          <w:rFonts w:ascii="Arial" w:hAnsi="Arial" w:cs="Arial"/>
        </w:rPr>
      </w:pPr>
      <w:r w:rsidRPr="0054600B">
        <w:rPr>
          <w:rFonts w:ascii="Arial" w:hAnsi="Arial" w:cs="Arial"/>
        </w:rPr>
        <w:t xml:space="preserve">Guy GP, Leslie K, Diaz Gomez D, </w:t>
      </w:r>
      <w:proofErr w:type="spellStart"/>
      <w:r w:rsidRPr="0054600B">
        <w:rPr>
          <w:rFonts w:ascii="Arial" w:hAnsi="Arial" w:cs="Arial"/>
        </w:rPr>
        <w:t>Forenc</w:t>
      </w:r>
      <w:proofErr w:type="spellEnd"/>
      <w:r w:rsidRPr="0054600B">
        <w:rPr>
          <w:rFonts w:ascii="Arial" w:hAnsi="Arial" w:cs="Arial"/>
        </w:rPr>
        <w:t xml:space="preserve"> K, Buck E, Bhide A, </w:t>
      </w:r>
      <w:proofErr w:type="gramStart"/>
      <w:r w:rsidRPr="0054600B">
        <w:rPr>
          <w:rFonts w:ascii="Arial" w:hAnsi="Arial" w:cs="Arial"/>
        </w:rPr>
        <w:t>Thilaganathan</w:t>
      </w:r>
      <w:proofErr w:type="gramEnd"/>
      <w:r w:rsidRPr="0054600B">
        <w:rPr>
          <w:rFonts w:ascii="Arial" w:hAnsi="Arial" w:cs="Arial"/>
        </w:rPr>
        <w:t xml:space="preserve"> B. Effect of routine first-trimester combined screening for pre-eclampsia on small-for-gestational-age birth: secondary interrupted time series analysis. Ultrasound </w:t>
      </w:r>
      <w:proofErr w:type="spellStart"/>
      <w:r w:rsidRPr="0054600B">
        <w:rPr>
          <w:rFonts w:ascii="Arial" w:hAnsi="Arial" w:cs="Arial"/>
        </w:rPr>
        <w:t>Obstet</w:t>
      </w:r>
      <w:proofErr w:type="spellEnd"/>
      <w:r w:rsidRPr="0054600B">
        <w:rPr>
          <w:rFonts w:ascii="Arial" w:hAnsi="Arial" w:cs="Arial"/>
        </w:rPr>
        <w:t xml:space="preserve"> Gynecol</w:t>
      </w:r>
      <w:r w:rsidRPr="0054600B">
        <w:rPr>
          <w:rStyle w:val="period"/>
          <w:rFonts w:ascii="Arial" w:hAnsi="Arial" w:cs="Arial"/>
        </w:rPr>
        <w:t>. </w:t>
      </w:r>
      <w:r w:rsidRPr="0054600B">
        <w:rPr>
          <w:rStyle w:val="cit"/>
          <w:rFonts w:ascii="Arial" w:hAnsi="Arial" w:cs="Arial"/>
        </w:rPr>
        <w:t>2022 Jan</w:t>
      </w:r>
      <w:proofErr w:type="gramStart"/>
      <w:r w:rsidRPr="0054600B">
        <w:rPr>
          <w:rStyle w:val="cit"/>
          <w:rFonts w:ascii="Arial" w:hAnsi="Arial" w:cs="Arial"/>
        </w:rPr>
        <w:t>;59</w:t>
      </w:r>
      <w:proofErr w:type="gramEnd"/>
      <w:r w:rsidRPr="0054600B">
        <w:rPr>
          <w:rStyle w:val="cit"/>
          <w:rFonts w:ascii="Arial" w:hAnsi="Arial" w:cs="Arial"/>
        </w:rPr>
        <w:t>(1):55-60.</w:t>
      </w:r>
      <w:r w:rsidRPr="0054600B">
        <w:rPr>
          <w:rFonts w:ascii="Arial" w:hAnsi="Arial" w:cs="Arial"/>
          <w:shd w:val="clear" w:color="auto" w:fill="FFFFFF"/>
        </w:rPr>
        <w:t> </w:t>
      </w:r>
      <w:proofErr w:type="spellStart"/>
      <w:r w:rsidRPr="0054600B">
        <w:rPr>
          <w:rStyle w:val="citation-doi"/>
          <w:rFonts w:ascii="Arial" w:hAnsi="Arial" w:cs="Arial"/>
          <w:shd w:val="clear" w:color="auto" w:fill="FFFFFF"/>
        </w:rPr>
        <w:t>doi</w:t>
      </w:r>
      <w:proofErr w:type="spellEnd"/>
      <w:r w:rsidRPr="0054600B">
        <w:rPr>
          <w:rStyle w:val="citation-doi"/>
          <w:rFonts w:ascii="Arial" w:hAnsi="Arial" w:cs="Arial"/>
          <w:shd w:val="clear" w:color="auto" w:fill="FFFFFF"/>
        </w:rPr>
        <w:t>: 10.1002/uog.23741</w:t>
      </w:r>
    </w:p>
    <w:p w14:paraId="5E171C24" w14:textId="00069F6D" w:rsidR="00EA5311" w:rsidRDefault="00AC0634" w:rsidP="00AC0634">
      <w:pPr>
        <w:pStyle w:val="ListParagraph"/>
        <w:numPr>
          <w:ilvl w:val="0"/>
          <w:numId w:val="4"/>
        </w:numPr>
        <w:shd w:val="clear" w:color="auto" w:fill="FFFFFF"/>
        <w:spacing w:line="360" w:lineRule="auto"/>
        <w:rPr>
          <w:rFonts w:ascii="Arial" w:hAnsi="Arial" w:cs="Arial"/>
        </w:rPr>
      </w:pPr>
      <w:hyperlink r:id="rId7" w:history="1">
        <w:r w:rsidR="0011746A" w:rsidRPr="00581431">
          <w:rPr>
            <w:rStyle w:val="Hyperlink"/>
            <w:rFonts w:ascii="Arial" w:hAnsi="Arial" w:cs="Arial"/>
          </w:rPr>
          <w:t>https://www.nhsrho.org/publications/ethnic-health-inequalities-andthe-nhs/</w:t>
        </w:r>
      </w:hyperlink>
      <w:r w:rsidR="0011746A" w:rsidRPr="0011746A">
        <w:rPr>
          <w:rFonts w:ascii="Arial" w:hAnsi="Arial" w:cs="Arial"/>
        </w:rPr>
        <w:t>. [cited 2022 June]</w:t>
      </w:r>
    </w:p>
    <w:p w14:paraId="046AE77D" w14:textId="77777777" w:rsidR="00AC0634" w:rsidRPr="00AC0634" w:rsidRDefault="00AC0634" w:rsidP="00AC0634">
      <w:pPr>
        <w:shd w:val="clear" w:color="auto" w:fill="FFFFFF"/>
        <w:spacing w:line="360" w:lineRule="auto"/>
        <w:rPr>
          <w:rFonts w:ascii="Arial" w:hAnsi="Arial" w:cs="Arial"/>
          <w:b/>
        </w:rPr>
      </w:pPr>
      <w:r w:rsidRPr="00AC0634">
        <w:rPr>
          <w:rFonts w:ascii="Arial" w:hAnsi="Arial" w:cs="Arial"/>
          <w:b/>
        </w:rPr>
        <w:lastRenderedPageBreak/>
        <w:t>DISCLOSURE OF INTERESTS</w:t>
      </w:r>
    </w:p>
    <w:p w14:paraId="5D2BCDDA" w14:textId="11623DCD" w:rsidR="00AC0634" w:rsidRPr="00AC0634" w:rsidRDefault="00AC0634" w:rsidP="00AC0634">
      <w:pPr>
        <w:shd w:val="clear" w:color="auto" w:fill="FFFFFF"/>
        <w:spacing w:line="360" w:lineRule="auto"/>
        <w:rPr>
          <w:rFonts w:ascii="Arial" w:hAnsi="Arial" w:cs="Arial"/>
        </w:rPr>
      </w:pPr>
      <w:r w:rsidRPr="00AC0634">
        <w:rPr>
          <w:rFonts w:ascii="Arial" w:hAnsi="Arial" w:cs="Arial"/>
        </w:rPr>
        <w:t>None declared. Completed disclosure of interest forms are</w:t>
      </w:r>
      <w:r w:rsidRPr="00AC0634">
        <w:rPr>
          <w:rFonts w:ascii="Arial" w:hAnsi="Arial" w:cs="Arial"/>
        </w:rPr>
        <w:t xml:space="preserve"> </w:t>
      </w:r>
      <w:r w:rsidRPr="00AC0634">
        <w:rPr>
          <w:rFonts w:ascii="Arial" w:hAnsi="Arial" w:cs="Arial"/>
        </w:rPr>
        <w:t>available to view online as supporting information.</w:t>
      </w:r>
    </w:p>
    <w:p w14:paraId="500A12CA" w14:textId="77777777" w:rsidR="00AC0634" w:rsidRPr="00AC0634" w:rsidRDefault="00AC0634" w:rsidP="00AC0634">
      <w:pPr>
        <w:shd w:val="clear" w:color="auto" w:fill="FFFFFF"/>
        <w:spacing w:line="360" w:lineRule="auto"/>
        <w:rPr>
          <w:rFonts w:ascii="Arial" w:hAnsi="Arial" w:cs="Arial"/>
        </w:rPr>
      </w:pPr>
    </w:p>
    <w:p w14:paraId="74850766" w14:textId="37E4652C" w:rsidR="00AC0634" w:rsidRPr="00AC0634" w:rsidRDefault="00AC0634" w:rsidP="00AC0634">
      <w:pPr>
        <w:shd w:val="clear" w:color="auto" w:fill="FFFFFF"/>
        <w:spacing w:line="360" w:lineRule="auto"/>
        <w:rPr>
          <w:rFonts w:ascii="Arial" w:hAnsi="Arial" w:cs="Arial"/>
          <w:b/>
        </w:rPr>
      </w:pPr>
      <w:r w:rsidRPr="00AC0634">
        <w:rPr>
          <w:rFonts w:ascii="Arial" w:hAnsi="Arial" w:cs="Arial"/>
          <w:b/>
        </w:rPr>
        <w:t>AUTHOR CONTRIBUTIONS</w:t>
      </w:r>
    </w:p>
    <w:p w14:paraId="2E79C0C7" w14:textId="77777777" w:rsidR="00AC0634" w:rsidRPr="00AC0634" w:rsidRDefault="00AC0634" w:rsidP="00AC0634">
      <w:pPr>
        <w:shd w:val="clear" w:color="auto" w:fill="FFFFFF"/>
        <w:spacing w:line="360" w:lineRule="auto"/>
        <w:rPr>
          <w:rFonts w:ascii="Arial" w:hAnsi="Arial" w:cs="Arial"/>
        </w:rPr>
      </w:pPr>
      <w:r w:rsidRPr="00AC0634">
        <w:rPr>
          <w:rFonts w:ascii="Arial" w:hAnsi="Arial" w:cs="Arial"/>
        </w:rPr>
        <w:t>All authors contributed to the writing of this correspondence.</w:t>
      </w:r>
    </w:p>
    <w:p w14:paraId="151026F1" w14:textId="77777777" w:rsidR="00AC0634" w:rsidRPr="00AC0634" w:rsidRDefault="00AC0634" w:rsidP="00AC0634">
      <w:pPr>
        <w:shd w:val="clear" w:color="auto" w:fill="FFFFFF"/>
        <w:spacing w:line="360" w:lineRule="auto"/>
        <w:rPr>
          <w:rFonts w:ascii="Arial" w:hAnsi="Arial" w:cs="Arial"/>
        </w:rPr>
      </w:pPr>
    </w:p>
    <w:p w14:paraId="0FE55B5A" w14:textId="2D7FA600" w:rsidR="00AC0634" w:rsidRPr="00AC0634" w:rsidRDefault="00AC0634" w:rsidP="00AC0634">
      <w:pPr>
        <w:shd w:val="clear" w:color="auto" w:fill="FFFFFF"/>
        <w:spacing w:line="360" w:lineRule="auto"/>
        <w:rPr>
          <w:rFonts w:ascii="Arial" w:hAnsi="Arial" w:cs="Arial"/>
          <w:b/>
        </w:rPr>
      </w:pPr>
      <w:r w:rsidRPr="00AC0634">
        <w:rPr>
          <w:rFonts w:ascii="Arial" w:hAnsi="Arial" w:cs="Arial"/>
          <w:b/>
        </w:rPr>
        <w:t>FUNDING INFORMATION</w:t>
      </w:r>
    </w:p>
    <w:p w14:paraId="3762BAEC" w14:textId="4D80B805" w:rsidR="00AC0634" w:rsidRPr="00AC0634" w:rsidRDefault="00AC0634" w:rsidP="00AC0634">
      <w:pPr>
        <w:shd w:val="clear" w:color="auto" w:fill="FFFFFF"/>
        <w:spacing w:line="360" w:lineRule="auto"/>
        <w:rPr>
          <w:rFonts w:ascii="Arial" w:hAnsi="Arial" w:cs="Arial"/>
        </w:rPr>
      </w:pPr>
      <w:r w:rsidRPr="00AC0634">
        <w:rPr>
          <w:rFonts w:ascii="Arial" w:hAnsi="Arial" w:cs="Arial"/>
        </w:rPr>
        <w:t xml:space="preserve">Dr Becky Liu’s post </w:t>
      </w:r>
      <w:proofErr w:type="gramStart"/>
      <w:r>
        <w:rPr>
          <w:rFonts w:ascii="Arial" w:hAnsi="Arial" w:cs="Arial"/>
        </w:rPr>
        <w:t>i</w:t>
      </w:r>
      <w:r w:rsidRPr="00AC0634">
        <w:rPr>
          <w:rFonts w:ascii="Arial" w:hAnsi="Arial" w:cs="Arial"/>
        </w:rPr>
        <w:t>s funded</w:t>
      </w:r>
      <w:proofErr w:type="gramEnd"/>
      <w:r w:rsidRPr="00AC0634">
        <w:rPr>
          <w:rFonts w:ascii="Arial" w:hAnsi="Arial" w:cs="Arial"/>
        </w:rPr>
        <w:t xml:space="preserve"> by an unrestricted grant</w:t>
      </w:r>
      <w:r w:rsidRPr="00AC0634">
        <w:rPr>
          <w:rFonts w:ascii="Arial" w:hAnsi="Arial" w:cs="Arial"/>
        </w:rPr>
        <w:t xml:space="preserve"> </w:t>
      </w:r>
      <w:r w:rsidRPr="00AC0634">
        <w:rPr>
          <w:rFonts w:ascii="Arial" w:hAnsi="Arial" w:cs="Arial"/>
        </w:rPr>
        <w:t xml:space="preserve">from </w:t>
      </w:r>
      <w:proofErr w:type="spellStart"/>
      <w:r w:rsidRPr="00AC0634">
        <w:rPr>
          <w:rFonts w:ascii="Arial" w:hAnsi="Arial" w:cs="Arial"/>
        </w:rPr>
        <w:t>Biorithm</w:t>
      </w:r>
      <w:proofErr w:type="spellEnd"/>
      <w:r w:rsidRPr="00AC0634">
        <w:rPr>
          <w:rFonts w:ascii="Arial" w:hAnsi="Arial" w:cs="Arial"/>
        </w:rPr>
        <w:t xml:space="preserve"> Pte Ltd. The funders were not involved in the</w:t>
      </w:r>
      <w:r w:rsidRPr="00AC0634">
        <w:rPr>
          <w:rFonts w:ascii="Arial" w:hAnsi="Arial" w:cs="Arial"/>
        </w:rPr>
        <w:t xml:space="preserve"> </w:t>
      </w:r>
      <w:r w:rsidRPr="00AC0634">
        <w:rPr>
          <w:rFonts w:ascii="Arial" w:hAnsi="Arial" w:cs="Arial"/>
        </w:rPr>
        <w:t>drafting of this corresponde</w:t>
      </w:r>
      <w:bookmarkStart w:id="0" w:name="_GoBack"/>
      <w:bookmarkEnd w:id="0"/>
      <w:r w:rsidRPr="00AC0634">
        <w:rPr>
          <w:rFonts w:ascii="Arial" w:hAnsi="Arial" w:cs="Arial"/>
        </w:rPr>
        <w:t>nce.</w:t>
      </w:r>
    </w:p>
    <w:p w14:paraId="0E0998FF" w14:textId="77777777" w:rsidR="00AC0634" w:rsidRPr="00AC0634" w:rsidRDefault="00AC0634" w:rsidP="00AC0634">
      <w:pPr>
        <w:shd w:val="clear" w:color="auto" w:fill="FFFFFF"/>
        <w:spacing w:line="360" w:lineRule="auto"/>
        <w:rPr>
          <w:rFonts w:ascii="Arial" w:hAnsi="Arial" w:cs="Arial"/>
        </w:rPr>
      </w:pPr>
    </w:p>
    <w:p w14:paraId="61A9B1AB" w14:textId="3734325A" w:rsidR="00AC0634" w:rsidRPr="00AC0634" w:rsidRDefault="00AC0634" w:rsidP="00AC0634">
      <w:pPr>
        <w:shd w:val="clear" w:color="auto" w:fill="FFFFFF"/>
        <w:spacing w:line="360" w:lineRule="auto"/>
        <w:rPr>
          <w:rFonts w:ascii="Arial" w:hAnsi="Arial" w:cs="Arial"/>
          <w:b/>
        </w:rPr>
      </w:pPr>
      <w:r w:rsidRPr="00AC0634">
        <w:rPr>
          <w:rFonts w:ascii="Arial" w:hAnsi="Arial" w:cs="Arial"/>
          <w:b/>
        </w:rPr>
        <w:t>DATA AVAILABILITY STATEMENT</w:t>
      </w:r>
    </w:p>
    <w:p w14:paraId="191EBE24" w14:textId="4611E754" w:rsidR="00AC0634" w:rsidRPr="00AC0634" w:rsidRDefault="00AC0634" w:rsidP="00AC0634">
      <w:pPr>
        <w:shd w:val="clear" w:color="auto" w:fill="FFFFFF"/>
        <w:spacing w:line="360" w:lineRule="auto"/>
        <w:rPr>
          <w:rFonts w:ascii="Arial" w:hAnsi="Arial" w:cs="Arial"/>
        </w:rPr>
      </w:pPr>
      <w:r w:rsidRPr="00AC0634">
        <w:rPr>
          <w:rFonts w:ascii="Arial" w:hAnsi="Arial" w:cs="Arial"/>
        </w:rPr>
        <w:t>Not applicable.</w:t>
      </w:r>
    </w:p>
    <w:sectPr w:rsidR="00AC0634" w:rsidRPr="00AC0634">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3F7798" w16cex:dateUtc="2022-05-30T16: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8F443B1" w16cid:durableId="263F779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B623E"/>
    <w:multiLevelType w:val="multilevel"/>
    <w:tmpl w:val="6E3C7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4D083E"/>
    <w:multiLevelType w:val="multilevel"/>
    <w:tmpl w:val="AA08A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AF3A9C"/>
    <w:multiLevelType w:val="hybridMultilevel"/>
    <w:tmpl w:val="D0F00EE4"/>
    <w:lvl w:ilvl="0" w:tplc="5574931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36F04C23"/>
    <w:multiLevelType w:val="hybridMultilevel"/>
    <w:tmpl w:val="43487E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4024735"/>
    <w:multiLevelType w:val="multilevel"/>
    <w:tmpl w:val="16004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C797E49"/>
    <w:multiLevelType w:val="hybridMultilevel"/>
    <w:tmpl w:val="E60ABC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06A"/>
    <w:rsid w:val="000B5747"/>
    <w:rsid w:val="0011746A"/>
    <w:rsid w:val="00232D5D"/>
    <w:rsid w:val="00244ABD"/>
    <w:rsid w:val="00385497"/>
    <w:rsid w:val="00396754"/>
    <w:rsid w:val="003E6843"/>
    <w:rsid w:val="0054600B"/>
    <w:rsid w:val="005A1D3C"/>
    <w:rsid w:val="006570A6"/>
    <w:rsid w:val="0066753D"/>
    <w:rsid w:val="00722696"/>
    <w:rsid w:val="007C163A"/>
    <w:rsid w:val="007C205F"/>
    <w:rsid w:val="00831F16"/>
    <w:rsid w:val="009418F3"/>
    <w:rsid w:val="00947A2B"/>
    <w:rsid w:val="00AC0634"/>
    <w:rsid w:val="00B04D5F"/>
    <w:rsid w:val="00C41C59"/>
    <w:rsid w:val="00D7706A"/>
    <w:rsid w:val="00DA6BB1"/>
    <w:rsid w:val="00E32023"/>
    <w:rsid w:val="00E63982"/>
    <w:rsid w:val="00E66B3D"/>
    <w:rsid w:val="00E82A32"/>
    <w:rsid w:val="00EA5311"/>
    <w:rsid w:val="00EA64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EC1FD"/>
  <w15:chartTrackingRefBased/>
  <w15:docId w15:val="{BBB4330C-F1D1-49C2-94FF-FDC51CE8C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EA531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5311"/>
    <w:pPr>
      <w:ind w:left="720"/>
      <w:contextualSpacing/>
    </w:pPr>
  </w:style>
  <w:style w:type="character" w:customStyle="1" w:styleId="Heading1Char">
    <w:name w:val="Heading 1 Char"/>
    <w:basedOn w:val="DefaultParagraphFont"/>
    <w:link w:val="Heading1"/>
    <w:uiPriority w:val="9"/>
    <w:rsid w:val="00EA5311"/>
    <w:rPr>
      <w:rFonts w:ascii="Times New Roman" w:eastAsia="Times New Roman" w:hAnsi="Times New Roman" w:cs="Times New Roman"/>
      <w:b/>
      <w:bCs/>
      <w:kern w:val="36"/>
      <w:sz w:val="48"/>
      <w:szCs w:val="48"/>
      <w:lang w:eastAsia="en-GB"/>
    </w:rPr>
  </w:style>
  <w:style w:type="character" w:customStyle="1" w:styleId="titledefault">
    <w:name w:val="title_default"/>
    <w:basedOn w:val="DefaultParagraphFont"/>
    <w:rsid w:val="00EA5311"/>
  </w:style>
  <w:style w:type="character" w:styleId="Hyperlink">
    <w:name w:val="Hyperlink"/>
    <w:basedOn w:val="DefaultParagraphFont"/>
    <w:uiPriority w:val="99"/>
    <w:unhideWhenUsed/>
    <w:rsid w:val="00EA5311"/>
    <w:rPr>
      <w:color w:val="0563C1" w:themeColor="hyperlink"/>
      <w:u w:val="single"/>
    </w:rPr>
  </w:style>
  <w:style w:type="character" w:customStyle="1" w:styleId="identifier">
    <w:name w:val="identifier"/>
    <w:basedOn w:val="DefaultParagraphFont"/>
    <w:rsid w:val="00E66B3D"/>
  </w:style>
  <w:style w:type="character" w:customStyle="1" w:styleId="id-label">
    <w:name w:val="id-label"/>
    <w:basedOn w:val="DefaultParagraphFont"/>
    <w:rsid w:val="00E66B3D"/>
  </w:style>
  <w:style w:type="character" w:customStyle="1" w:styleId="period">
    <w:name w:val="period"/>
    <w:basedOn w:val="DefaultParagraphFont"/>
    <w:rsid w:val="0054600B"/>
  </w:style>
  <w:style w:type="character" w:customStyle="1" w:styleId="cit">
    <w:name w:val="cit"/>
    <w:basedOn w:val="DefaultParagraphFont"/>
    <w:rsid w:val="0054600B"/>
  </w:style>
  <w:style w:type="character" w:customStyle="1" w:styleId="citation-doi">
    <w:name w:val="citation-doi"/>
    <w:basedOn w:val="DefaultParagraphFont"/>
    <w:rsid w:val="0054600B"/>
  </w:style>
  <w:style w:type="character" w:styleId="CommentReference">
    <w:name w:val="annotation reference"/>
    <w:basedOn w:val="DefaultParagraphFont"/>
    <w:uiPriority w:val="99"/>
    <w:semiHidden/>
    <w:unhideWhenUsed/>
    <w:rsid w:val="00DA6BB1"/>
    <w:rPr>
      <w:sz w:val="16"/>
      <w:szCs w:val="16"/>
    </w:rPr>
  </w:style>
  <w:style w:type="paragraph" w:styleId="CommentText">
    <w:name w:val="annotation text"/>
    <w:basedOn w:val="Normal"/>
    <w:link w:val="CommentTextChar"/>
    <w:uiPriority w:val="99"/>
    <w:semiHidden/>
    <w:unhideWhenUsed/>
    <w:rsid w:val="00DA6BB1"/>
    <w:pPr>
      <w:spacing w:line="240" w:lineRule="auto"/>
    </w:pPr>
    <w:rPr>
      <w:sz w:val="20"/>
      <w:szCs w:val="20"/>
    </w:rPr>
  </w:style>
  <w:style w:type="character" w:customStyle="1" w:styleId="CommentTextChar">
    <w:name w:val="Comment Text Char"/>
    <w:basedOn w:val="DefaultParagraphFont"/>
    <w:link w:val="CommentText"/>
    <w:uiPriority w:val="99"/>
    <w:semiHidden/>
    <w:rsid w:val="00DA6BB1"/>
    <w:rPr>
      <w:sz w:val="20"/>
      <w:szCs w:val="20"/>
    </w:rPr>
  </w:style>
  <w:style w:type="paragraph" w:styleId="CommentSubject">
    <w:name w:val="annotation subject"/>
    <w:basedOn w:val="CommentText"/>
    <w:next w:val="CommentText"/>
    <w:link w:val="CommentSubjectChar"/>
    <w:uiPriority w:val="99"/>
    <w:semiHidden/>
    <w:unhideWhenUsed/>
    <w:rsid w:val="00DA6BB1"/>
    <w:rPr>
      <w:b/>
      <w:bCs/>
    </w:rPr>
  </w:style>
  <w:style w:type="character" w:customStyle="1" w:styleId="CommentSubjectChar">
    <w:name w:val="Comment Subject Char"/>
    <w:basedOn w:val="CommentTextChar"/>
    <w:link w:val="CommentSubject"/>
    <w:uiPriority w:val="99"/>
    <w:semiHidden/>
    <w:rsid w:val="00DA6BB1"/>
    <w:rPr>
      <w:b/>
      <w:bCs/>
      <w:sz w:val="20"/>
      <w:szCs w:val="20"/>
    </w:rPr>
  </w:style>
  <w:style w:type="paragraph" w:styleId="BalloonText">
    <w:name w:val="Balloon Text"/>
    <w:basedOn w:val="Normal"/>
    <w:link w:val="BalloonTextChar"/>
    <w:uiPriority w:val="99"/>
    <w:semiHidden/>
    <w:unhideWhenUsed/>
    <w:rsid w:val="001174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746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77773">
      <w:bodyDiv w:val="1"/>
      <w:marLeft w:val="0"/>
      <w:marRight w:val="0"/>
      <w:marTop w:val="0"/>
      <w:marBottom w:val="0"/>
      <w:divBdr>
        <w:top w:val="none" w:sz="0" w:space="0" w:color="auto"/>
        <w:left w:val="none" w:sz="0" w:space="0" w:color="auto"/>
        <w:bottom w:val="none" w:sz="0" w:space="0" w:color="auto"/>
        <w:right w:val="none" w:sz="0" w:space="0" w:color="auto"/>
      </w:divBdr>
    </w:div>
    <w:div w:id="351684327">
      <w:bodyDiv w:val="1"/>
      <w:marLeft w:val="0"/>
      <w:marRight w:val="0"/>
      <w:marTop w:val="0"/>
      <w:marBottom w:val="0"/>
      <w:divBdr>
        <w:top w:val="none" w:sz="0" w:space="0" w:color="auto"/>
        <w:left w:val="none" w:sz="0" w:space="0" w:color="auto"/>
        <w:bottom w:val="none" w:sz="0" w:space="0" w:color="auto"/>
        <w:right w:val="none" w:sz="0" w:space="0" w:color="auto"/>
      </w:divBdr>
    </w:div>
    <w:div w:id="454719581">
      <w:bodyDiv w:val="1"/>
      <w:marLeft w:val="0"/>
      <w:marRight w:val="0"/>
      <w:marTop w:val="0"/>
      <w:marBottom w:val="0"/>
      <w:divBdr>
        <w:top w:val="none" w:sz="0" w:space="0" w:color="auto"/>
        <w:left w:val="none" w:sz="0" w:space="0" w:color="auto"/>
        <w:bottom w:val="none" w:sz="0" w:space="0" w:color="auto"/>
        <w:right w:val="none" w:sz="0" w:space="0" w:color="auto"/>
      </w:divBdr>
    </w:div>
    <w:div w:id="494540988">
      <w:bodyDiv w:val="1"/>
      <w:marLeft w:val="0"/>
      <w:marRight w:val="0"/>
      <w:marTop w:val="0"/>
      <w:marBottom w:val="0"/>
      <w:divBdr>
        <w:top w:val="none" w:sz="0" w:space="0" w:color="auto"/>
        <w:left w:val="none" w:sz="0" w:space="0" w:color="auto"/>
        <w:bottom w:val="none" w:sz="0" w:space="0" w:color="auto"/>
        <w:right w:val="none" w:sz="0" w:space="0" w:color="auto"/>
      </w:divBdr>
    </w:div>
    <w:div w:id="590041887">
      <w:bodyDiv w:val="1"/>
      <w:marLeft w:val="0"/>
      <w:marRight w:val="0"/>
      <w:marTop w:val="0"/>
      <w:marBottom w:val="0"/>
      <w:divBdr>
        <w:top w:val="none" w:sz="0" w:space="0" w:color="auto"/>
        <w:left w:val="none" w:sz="0" w:space="0" w:color="auto"/>
        <w:bottom w:val="none" w:sz="0" w:space="0" w:color="auto"/>
        <w:right w:val="none" w:sz="0" w:space="0" w:color="auto"/>
      </w:divBdr>
    </w:div>
    <w:div w:id="805587020">
      <w:bodyDiv w:val="1"/>
      <w:marLeft w:val="0"/>
      <w:marRight w:val="0"/>
      <w:marTop w:val="0"/>
      <w:marBottom w:val="0"/>
      <w:divBdr>
        <w:top w:val="none" w:sz="0" w:space="0" w:color="auto"/>
        <w:left w:val="none" w:sz="0" w:space="0" w:color="auto"/>
        <w:bottom w:val="none" w:sz="0" w:space="0" w:color="auto"/>
        <w:right w:val="none" w:sz="0" w:space="0" w:color="auto"/>
      </w:divBdr>
      <w:divsChild>
        <w:div w:id="1266309711">
          <w:marLeft w:val="0"/>
          <w:marRight w:val="0"/>
          <w:marTop w:val="0"/>
          <w:marBottom w:val="0"/>
          <w:divBdr>
            <w:top w:val="none" w:sz="0" w:space="0" w:color="auto"/>
            <w:left w:val="none" w:sz="0" w:space="0" w:color="auto"/>
            <w:bottom w:val="none" w:sz="0" w:space="0" w:color="auto"/>
            <w:right w:val="none" w:sz="0" w:space="0" w:color="auto"/>
          </w:divBdr>
          <w:divsChild>
            <w:div w:id="42413071">
              <w:marLeft w:val="0"/>
              <w:marRight w:val="0"/>
              <w:marTop w:val="0"/>
              <w:marBottom w:val="0"/>
              <w:divBdr>
                <w:top w:val="none" w:sz="0" w:space="0" w:color="auto"/>
                <w:left w:val="none" w:sz="0" w:space="0" w:color="auto"/>
                <w:bottom w:val="none" w:sz="0" w:space="0" w:color="auto"/>
                <w:right w:val="none" w:sz="0" w:space="0" w:color="auto"/>
              </w:divBdr>
              <w:divsChild>
                <w:div w:id="150805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296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nhsrho.org/publications/ethnic-health-inequalities-andthe-nh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111/1471-0528.17109" TargetMode="External"/><Relationship Id="rId11" Type="http://schemas.microsoft.com/office/2016/09/relationships/commentsIds" Target="commentsIds.xml"/><Relationship Id="rId5" Type="http://schemas.openxmlformats.org/officeDocument/2006/relationships/hyperlink" Target="https://www.nice.org.uk/news/article/nice-recommends-inducing-women-in-labour-earlier-in-new-draft-guidance" TargetMode="External"/><Relationship Id="rId10"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3</Pages>
  <Words>837</Words>
  <Characters>4773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Frick</dc:creator>
  <cp:keywords/>
  <dc:description/>
  <cp:lastModifiedBy>Baskaran Thilaganathan</cp:lastModifiedBy>
  <cp:revision>6</cp:revision>
  <dcterms:created xsi:type="dcterms:W3CDTF">2022-05-30T14:48:00Z</dcterms:created>
  <dcterms:modified xsi:type="dcterms:W3CDTF">2022-05-31T16:12:00Z</dcterms:modified>
</cp:coreProperties>
</file>